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90" w:rsidRPr="00421190" w:rsidRDefault="00421190" w:rsidP="00421190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21190">
        <w:rPr>
          <w:rFonts w:ascii="標楷體" w:eastAsia="標楷體" w:hAnsi="標楷體" w:hint="eastAsia"/>
          <w:b/>
          <w:sz w:val="40"/>
          <w:szCs w:val="40"/>
        </w:rPr>
        <w:t>澎湖縣菜園及</w:t>
      </w:r>
      <w:proofErr w:type="gramStart"/>
      <w:r w:rsidRPr="00421190">
        <w:rPr>
          <w:rFonts w:ascii="標楷體" w:eastAsia="標楷體" w:hAnsi="標楷體" w:hint="eastAsia"/>
          <w:b/>
          <w:sz w:val="40"/>
          <w:szCs w:val="40"/>
        </w:rPr>
        <w:t>隘</w:t>
      </w:r>
      <w:proofErr w:type="gramEnd"/>
      <w:r w:rsidRPr="00421190">
        <w:rPr>
          <w:rFonts w:ascii="標楷體" w:eastAsia="標楷體" w:hAnsi="標楷體" w:hint="eastAsia"/>
          <w:b/>
          <w:sz w:val="40"/>
          <w:szCs w:val="40"/>
        </w:rPr>
        <w:t>門納骨塔收費標準</w:t>
      </w:r>
    </w:p>
    <w:p w:rsidR="00421190" w:rsidRPr="004C4684" w:rsidRDefault="00421190" w:rsidP="00421190">
      <w:pPr>
        <w:spacing w:line="420" w:lineRule="exact"/>
        <w:ind w:left="879" w:hangingChars="314" w:hanging="879"/>
        <w:rPr>
          <w:rFonts w:ascii="標楷體" w:eastAsia="標楷體" w:hAnsi="標楷體"/>
          <w:sz w:val="28"/>
          <w:szCs w:val="28"/>
        </w:rPr>
      </w:pPr>
      <w:r w:rsidRPr="004C4684">
        <w:rPr>
          <w:rFonts w:ascii="標楷體" w:eastAsia="標楷體" w:hAnsi="標楷體" w:hint="eastAsia"/>
          <w:sz w:val="28"/>
          <w:szCs w:val="28"/>
        </w:rPr>
        <w:t xml:space="preserve">第一條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C4684">
        <w:rPr>
          <w:rFonts w:ascii="標楷體" w:eastAsia="標楷體" w:hAnsi="標楷體" w:hint="eastAsia"/>
          <w:sz w:val="28"/>
          <w:szCs w:val="28"/>
        </w:rPr>
        <w:t>本標準依據澎湖縣菜園及</w:t>
      </w:r>
      <w:proofErr w:type="gramStart"/>
      <w:r w:rsidRPr="004C4684">
        <w:rPr>
          <w:rFonts w:ascii="標楷體" w:eastAsia="標楷體" w:hAnsi="標楷體" w:hint="eastAsia"/>
          <w:sz w:val="28"/>
          <w:szCs w:val="28"/>
        </w:rPr>
        <w:t>隘</w:t>
      </w:r>
      <w:proofErr w:type="gramEnd"/>
      <w:r w:rsidRPr="004C4684">
        <w:rPr>
          <w:rFonts w:ascii="標楷體" w:eastAsia="標楷體" w:hAnsi="標楷體" w:hint="eastAsia"/>
          <w:sz w:val="28"/>
          <w:szCs w:val="28"/>
        </w:rPr>
        <w:t>門納骨塔管理自治條例第四條第一項規定訂定之。</w:t>
      </w:r>
    </w:p>
    <w:p w:rsidR="00421190" w:rsidRPr="004C4684" w:rsidRDefault="00421190" w:rsidP="0042119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C4684">
        <w:rPr>
          <w:rFonts w:ascii="標楷體" w:eastAsia="標楷體" w:hAnsi="標楷體" w:hint="eastAsia"/>
          <w:sz w:val="28"/>
          <w:szCs w:val="28"/>
        </w:rPr>
        <w:t xml:space="preserve">第二條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C4684">
        <w:rPr>
          <w:rFonts w:ascii="標楷體" w:eastAsia="標楷體" w:hAnsi="標楷體" w:hint="eastAsia"/>
          <w:sz w:val="28"/>
          <w:szCs w:val="28"/>
        </w:rPr>
        <w:t>本標準之主管機關為澎湖縣政府。</w:t>
      </w:r>
    </w:p>
    <w:p w:rsidR="00421190" w:rsidRPr="004C4684" w:rsidRDefault="00421190" w:rsidP="00421190">
      <w:pPr>
        <w:spacing w:line="42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4C4684">
        <w:rPr>
          <w:rFonts w:ascii="標楷體" w:eastAsia="標楷體" w:hAnsi="標楷體" w:hint="eastAsia"/>
          <w:sz w:val="28"/>
          <w:szCs w:val="28"/>
        </w:rPr>
        <w:t xml:space="preserve">第三條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C4684">
        <w:rPr>
          <w:rFonts w:ascii="標楷體" w:eastAsia="標楷體" w:hAnsi="標楷體" w:hint="eastAsia"/>
          <w:sz w:val="28"/>
          <w:szCs w:val="28"/>
        </w:rPr>
        <w:t>本標準所稱設施，指菜園納骨塔及</w:t>
      </w:r>
      <w:proofErr w:type="gramStart"/>
      <w:r w:rsidRPr="004C4684">
        <w:rPr>
          <w:rFonts w:ascii="標楷體" w:eastAsia="標楷體" w:hAnsi="標楷體" w:hint="eastAsia"/>
          <w:sz w:val="28"/>
          <w:szCs w:val="28"/>
        </w:rPr>
        <w:t>隘</w:t>
      </w:r>
      <w:proofErr w:type="gramEnd"/>
      <w:r w:rsidRPr="004C4684">
        <w:rPr>
          <w:rFonts w:ascii="標楷體" w:eastAsia="標楷體" w:hAnsi="標楷體" w:hint="eastAsia"/>
          <w:sz w:val="28"/>
          <w:szCs w:val="28"/>
        </w:rPr>
        <w:t>門納骨塔（以下簡稱本塔）提供骨灰（</w:t>
      </w:r>
      <w:proofErr w:type="gramStart"/>
      <w:r w:rsidRPr="004C4684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4C4684">
        <w:rPr>
          <w:rFonts w:ascii="標楷體" w:eastAsia="標楷體" w:hAnsi="標楷體" w:hint="eastAsia"/>
          <w:sz w:val="28"/>
          <w:szCs w:val="28"/>
        </w:rPr>
        <w:t>）存放之設施。</w:t>
      </w:r>
    </w:p>
    <w:p w:rsidR="00421190" w:rsidRPr="004C4684" w:rsidRDefault="00421190" w:rsidP="0042119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C4684">
        <w:rPr>
          <w:rFonts w:ascii="標楷體" w:eastAsia="標楷體" w:hAnsi="標楷體" w:hint="eastAsia"/>
          <w:sz w:val="28"/>
          <w:szCs w:val="28"/>
        </w:rPr>
        <w:t xml:space="preserve">第四條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C4684">
        <w:rPr>
          <w:rFonts w:ascii="標楷體" w:eastAsia="標楷體" w:hAnsi="標楷體" w:hint="eastAsia"/>
          <w:sz w:val="28"/>
          <w:szCs w:val="28"/>
        </w:rPr>
        <w:t>使用本塔設施及設備之收費項目及金額如附表。</w:t>
      </w:r>
    </w:p>
    <w:p w:rsidR="00421190" w:rsidRDefault="00421190" w:rsidP="0042119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C4684">
        <w:rPr>
          <w:rFonts w:ascii="標楷體" w:eastAsia="標楷體" w:hAnsi="標楷體" w:hint="eastAsia"/>
          <w:sz w:val="28"/>
          <w:szCs w:val="28"/>
        </w:rPr>
        <w:t xml:space="preserve">第五條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C4684">
        <w:rPr>
          <w:rFonts w:ascii="標楷體" w:eastAsia="標楷體" w:hAnsi="標楷體" w:hint="eastAsia"/>
          <w:sz w:val="28"/>
          <w:szCs w:val="28"/>
        </w:rPr>
        <w:t>本標準自發布日施行。</w:t>
      </w:r>
    </w:p>
    <w:p w:rsidR="007A5DCE" w:rsidRDefault="007A5DCE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Default="00421190"/>
    <w:p w:rsidR="00421190" w:rsidRPr="00421190" w:rsidRDefault="00421190" w:rsidP="00421190">
      <w:pPr>
        <w:rPr>
          <w:rFonts w:ascii="標楷體" w:eastAsia="標楷體" w:hAnsi="標楷體"/>
          <w:b/>
          <w:sz w:val="28"/>
          <w:szCs w:val="28"/>
        </w:rPr>
      </w:pPr>
      <w:r w:rsidRPr="00421190"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024"/>
        <w:gridCol w:w="3970"/>
        <w:gridCol w:w="1940"/>
      </w:tblGrid>
      <w:tr w:rsidR="00421190" w:rsidRPr="00421190" w:rsidTr="00203A6F">
        <w:trPr>
          <w:trHeight w:val="640"/>
        </w:trPr>
        <w:tc>
          <w:tcPr>
            <w:tcW w:w="9828" w:type="dxa"/>
            <w:gridSpan w:val="4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澎湖縣菜園及</w:t>
            </w:r>
            <w:proofErr w:type="gramStart"/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隘</w:t>
            </w:r>
            <w:proofErr w:type="gramEnd"/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門納骨塔收費標準表</w:t>
            </w:r>
          </w:p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單位：新臺幣元</w:t>
            </w:r>
          </w:p>
        </w:tc>
      </w:tr>
      <w:tr w:rsidR="00421190" w:rsidRPr="00421190" w:rsidTr="00203A6F">
        <w:trPr>
          <w:trHeight w:val="453"/>
        </w:trPr>
        <w:tc>
          <w:tcPr>
            <w:tcW w:w="1728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</w:p>
        </w:tc>
        <w:tc>
          <w:tcPr>
            <w:tcW w:w="2066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收費項目</w:t>
            </w: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層 別 、 位 置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菜園納骨塔</w:t>
            </w: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骨骸櫃</w:t>
            </w: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第一層、第四層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五萬元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 xml:space="preserve">第二層 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六萬元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第三層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七萬元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骨灰櫃</w:t>
            </w: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 xml:space="preserve">第一層、第九層      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一萬五千元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 xml:space="preserve">第二層、第八層      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 xml:space="preserve">第三層、第七層       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 xml:space="preserve">第四層、第六層      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第五層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隘</w:t>
            </w:r>
            <w:proofErr w:type="gramEnd"/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門納骨塔</w:t>
            </w: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骨骸櫃</w:t>
            </w: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第一層、第五層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五萬元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第二層、第四層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六萬元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第三層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七萬元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骨灰櫃</w:t>
            </w: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第十一層、第十二層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一萬元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第一層、第十層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一萬五千元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第二層、第九層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第三層、第八層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第四層、第七層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第五層、第六層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夫妻櫃</w:t>
            </w: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第十一層、第十二層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一萬五千元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第一層、第十層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第二層、第九層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第三層、第八層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四萬五千元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第四層、第七層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五萬五千元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第五層、第六層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六萬五千元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家族式骨灰櫃</w:t>
            </w: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十二人家族式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二十萬元</w:t>
            </w:r>
          </w:p>
        </w:tc>
      </w:tr>
      <w:tr w:rsidR="00421190" w:rsidRPr="00421190" w:rsidTr="00203A6F">
        <w:trPr>
          <w:trHeight w:val="454"/>
        </w:trPr>
        <w:tc>
          <w:tcPr>
            <w:tcW w:w="1728" w:type="dxa"/>
            <w:vMerge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4" w:type="dxa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二十七人家族式</w:t>
            </w:r>
          </w:p>
        </w:tc>
        <w:tc>
          <w:tcPr>
            <w:tcW w:w="1980" w:type="dxa"/>
            <w:vAlign w:val="center"/>
          </w:tcPr>
          <w:p w:rsidR="00421190" w:rsidRPr="00421190" w:rsidRDefault="00421190" w:rsidP="00421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190">
              <w:rPr>
                <w:rFonts w:ascii="標楷體" w:eastAsia="標楷體" w:hAnsi="標楷體" w:hint="eastAsia"/>
                <w:sz w:val="28"/>
                <w:szCs w:val="28"/>
              </w:rPr>
              <w:t>三十六萬元</w:t>
            </w:r>
          </w:p>
        </w:tc>
      </w:tr>
    </w:tbl>
    <w:p w:rsidR="00421190" w:rsidRPr="00421190" w:rsidRDefault="00421190" w:rsidP="00421190">
      <w:pPr>
        <w:rPr>
          <w:rFonts w:ascii="標楷體" w:eastAsia="標楷體" w:hAnsi="標楷體"/>
          <w:sz w:val="28"/>
          <w:szCs w:val="28"/>
        </w:rPr>
      </w:pPr>
    </w:p>
    <w:p w:rsidR="00421190" w:rsidRPr="00421190" w:rsidRDefault="00421190">
      <w:pPr>
        <w:rPr>
          <w:rFonts w:ascii="標楷體" w:eastAsia="標楷體" w:hAnsi="標楷體"/>
          <w:sz w:val="28"/>
          <w:szCs w:val="28"/>
        </w:rPr>
      </w:pPr>
    </w:p>
    <w:sectPr w:rsidR="00421190" w:rsidRPr="00421190" w:rsidSect="0042119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90"/>
    <w:rsid w:val="003623E8"/>
    <w:rsid w:val="00421190"/>
    <w:rsid w:val="007A5DCE"/>
    <w:rsid w:val="008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8DF7-C20F-45B5-B584-A35F7F88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1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薛宏欣</dc:creator>
  <cp:keywords/>
  <dc:description/>
  <cp:lastModifiedBy>余重毅</cp:lastModifiedBy>
  <cp:revision>3</cp:revision>
  <cp:lastPrinted>2014-07-21T00:11:00Z</cp:lastPrinted>
  <dcterms:created xsi:type="dcterms:W3CDTF">2020-09-17T03:32:00Z</dcterms:created>
  <dcterms:modified xsi:type="dcterms:W3CDTF">2020-09-17T03:32:00Z</dcterms:modified>
</cp:coreProperties>
</file>